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06884"/>
          <w:sz w:val="19"/>
        </w:rPr>
        <w:t>MODIFIABLE REQUEST FOR PROPOSALS (RFP) TEMPLATE  |  VNA-RFP-012</w:t>
      </w:r>
    </w:p>
    <w:p>
      <w:pPr>
        <w:pStyle w:val="Heading1"/>
      </w:pPr>
      <w:r>
        <w:rPr>
          <w:color w:val="1B262B"/>
        </w:rPr>
        <w:t>Request for Proposals (RFP): Oracle to PostgreSQL &amp; AlloyDB Migration vs. Oracle SE2 / ODA License Right-Sizing</w:t>
      </w:r>
    </w:p>
    <w:p>
      <w:r>
        <w:rPr>
          <w:sz w:val="20"/>
        </w:rPr>
        <w:t>Instructions for RFP Author: This editable Microsoft Word (.docx) document is structured so your IT, Architecture, and Procurement teams can issue a competitive, apples-to-apples Request for Proposals. Replace all bracketed placeholders ([...]) below with your organization's dates, contacts, and inventory counts.</w:t>
      </w:r>
    </w:p>
    <w:p>
      <w:pPr>
        <w:pStyle w:val="Heading2"/>
      </w:pPr>
      <w:r>
        <w:rPr>
          <w:color w:val="006884"/>
        </w:rPr>
        <w:t>Section 1: Issuing Organization Profile &amp; Procurement Schedule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val="clear" w:color="auto" w:fill="182830"/>
          </w:tcPr>
          <w:p>
            <w:r>
              <w:rPr>
                <w:b/>
                <w:color w:val="FFFFFF"/>
                <w:sz w:val="19"/>
              </w:rPr>
              <w:t>Procurement Milestone / Field</w:t>
            </w:r>
          </w:p>
        </w:tc>
        <w:tc>
          <w:tcPr>
            <w:tcW w:type="dxa" w:w="5040"/>
            <w:shd w:val="clear" w:color="auto" w:fill="182830"/>
          </w:tcPr>
          <w:p>
            <w:r>
              <w:rPr>
                <w:b/>
                <w:color w:val="FFFFFF"/>
                <w:sz w:val="19"/>
              </w:rPr>
              <w:t>Target Date / Entry (Editable)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Issuing Organization Name</w:t>
            </w:r>
          </w:p>
        </w:tc>
        <w:tc>
          <w:tcPr>
            <w:tcW w:type="dxa" w:w="5040"/>
          </w:tcPr>
          <w:p>
            <w:r>
              <w:t>[Insert Legal Entity / Company Name]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Executive Sponsor &amp; Procurement Contact</w:t>
            </w:r>
          </w:p>
        </w:tc>
        <w:tc>
          <w:tcPr>
            <w:tcW w:type="dxa" w:w="5040"/>
          </w:tcPr>
          <w:p>
            <w:r>
              <w:t>[Insert Name, Title, Work Email &amp; Phone]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Reference Code</w:t>
            </w:r>
          </w:p>
        </w:tc>
        <w:tc>
          <w:tcPr>
            <w:tcW w:type="dxa" w:w="5040"/>
          </w:tcPr>
          <w:p>
            <w:r>
              <w:t>VNA-RFP-012 (Companion to Solution Brief VNA-SB-012)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Issue Date</w:t>
            </w:r>
          </w:p>
        </w:tc>
        <w:tc>
          <w:tcPr>
            <w:tcW w:type="dxa" w:w="5040"/>
          </w:tcPr>
          <w:p>
            <w:r>
              <w:t>[2026-10-27]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Vendor Written Questions Due</w:t>
            </w:r>
          </w:p>
        </w:tc>
        <w:tc>
          <w:tcPr>
            <w:tcW w:type="dxa" w:w="5040"/>
          </w:tcPr>
          <w:p>
            <w:r>
              <w:t>[Insert Date - Week 2]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Organization Responses to Vendor Q&amp;A</w:t>
            </w:r>
          </w:p>
        </w:tc>
        <w:tc>
          <w:tcPr>
            <w:tcW w:type="dxa" w:w="5040"/>
          </w:tcPr>
          <w:p>
            <w:r>
              <w:t>[Insert Date - Week 3]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Final Vendor Proposals &amp; Fixed-Fee Pricing Due</w:t>
            </w:r>
          </w:p>
        </w:tc>
        <w:tc>
          <w:tcPr>
            <w:tcW w:type="dxa" w:w="5040"/>
          </w:tcPr>
          <w:p>
            <w:r>
              <w:t>[Insert Date - Week 4]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Technical Architecture Demos / Oral Presentations</w:t>
            </w:r>
          </w:p>
        </w:tc>
        <w:tc>
          <w:tcPr>
            <w:tcW w:type="dxa" w:w="5040"/>
          </w:tcPr>
          <w:p>
            <w:r>
              <w:t>[Insert Date - Week 5]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Target Contract Award &amp; Phase 0 Kickoff</w:t>
            </w:r>
          </w:p>
        </w:tc>
        <w:tc>
          <w:tcPr>
            <w:tcW w:type="dxa" w:w="5040"/>
          </w:tcPr>
          <w:p>
            <w:r>
              <w:t>[Insert Date - Week 6]</w:t>
            </w:r>
          </w:p>
        </w:tc>
      </w:tr>
    </w:tbl>
    <w:p>
      <w:r>
        <w:t>[INSERT COMPANY NAME] ('Organization') is soliciting competitive proposals from qualified enterprise architecture and engineering partners to modernize and transition our current Oracle Database Views, Schemas &amp; Departmental Workloads environment to PostgreSQL / AlloyDB / Cloud SQL OR Right-Sized Oracle SE2 / ODA.</w:t>
      </w:r>
    </w:p>
    <w:p>
      <w:pPr>
        <w:pStyle w:val="ListBullet"/>
      </w:pPr>
      <w:r>
        <w:t>Organizations often attempt 'all-or-nothing' Oracle-to-PostgreSQL migrations using generic cloud-vendor contractors who underestimate Oracle-specific features: Package state variables, Autonomous Transactions (`PRAGMA AUTONOMOUS_TRANSACTION`), Global Contexts (`SYS_CONTEXT`), Advanced Queuing (`DBMS_AQ`), and complex analytical view hierarchies.</w:t>
      </w:r>
    </w:p>
    <w:p>
      <w:pPr>
        <w:pStyle w:val="ListBullet"/>
      </w:pPr>
      <w:r>
        <w:t>Meanwhile, many tier-2 and tier-3 databases sitting on expensive Enterprise Edition cores actually use zero EE-only features and could be legally right-sized to Oracle Standard Edition 2 (SE2) or consolidated on an Oracle Database Appliance (ODA) without rewriting a single line of code.</w:t>
      </w:r>
    </w:p>
    <w:p>
      <w:pPr>
        <w:pStyle w:val="ListBullet"/>
      </w:pPr>
      <w:r>
        <w:t>When workloads *do* move to PostgreSQL / AlloyDB / AWS Aurora, poorly translated views (`CONNECT BY`, `DECODE`, `NVL`, outer join `(+)` syntax) suffer 10x performance degradation under PostgreSQL's MVCC vacuum model.</w:t>
      </w:r>
    </w:p>
    <w:p>
      <w:pPr>
        <w:pStyle w:val="Heading2"/>
      </w:pPr>
      <w:r>
        <w:rPr>
          <w:color w:val="006884"/>
        </w:rPr>
        <w:t>Section 2: Current Environment Baseline Inventory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val="clear" w:color="auto" w:fill="006884"/>
          </w:tcPr>
          <w:p>
            <w:r>
              <w:rPr>
                <w:b/>
                <w:color w:val="FFFFFF"/>
                <w:sz w:val="19"/>
              </w:rPr>
              <w:t>Inventory Dimension</w:t>
            </w:r>
          </w:p>
        </w:tc>
        <w:tc>
          <w:tcPr>
            <w:tcW w:type="dxa" w:w="3360"/>
            <w:shd w:val="clear" w:color="auto" w:fill="006884"/>
          </w:tcPr>
          <w:p>
            <w:r>
              <w:rPr>
                <w:b/>
                <w:color w:val="FFFFFF"/>
                <w:sz w:val="19"/>
              </w:rPr>
              <w:t>Current Baseline Footprint (Editable)</w:t>
            </w:r>
          </w:p>
        </w:tc>
        <w:tc>
          <w:tcPr>
            <w:tcW w:type="dxa" w:w="3360"/>
            <w:shd w:val="clear" w:color="auto" w:fill="006884"/>
          </w:tcPr>
          <w:p>
            <w:r>
              <w:rPr>
                <w:b/>
                <w:color w:val="FFFFFF"/>
                <w:sz w:val="19"/>
              </w:rPr>
              <w:t>Target Modernization SLA / Objective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Legacy Source Stack (Stack X)</w:t>
            </w:r>
          </w:p>
        </w:tc>
        <w:tc>
          <w:tcPr>
            <w:tcW w:type="dxa" w:w="3360"/>
          </w:tcPr>
          <w:p>
            <w:r>
              <w:t>Oracle Database Views, Schemas &amp; Departmental Workloads</w:t>
            </w:r>
          </w:p>
        </w:tc>
        <w:tc>
          <w:tcPr>
            <w:tcW w:type="dxa" w:w="3360"/>
          </w:tcPr>
          <w:p>
            <w:r>
              <w:t>Full retirement / modernization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Architecture (Stack Y)</w:t>
            </w:r>
          </w:p>
        </w:tc>
        <w:tc>
          <w:tcPr>
            <w:tcW w:type="dxa" w:w="3360"/>
          </w:tcPr>
          <w:p>
            <w:r>
              <w:t>PostgreSQL / AlloyDB / Cloud SQL OR Right-Sized Oracle SE2 / ODA</w:t>
            </w:r>
          </w:p>
        </w:tc>
        <w:tc>
          <w:tcPr>
            <w:tcW w:type="dxa" w:w="3360"/>
          </w:tcPr>
          <w:p>
            <w:r>
              <w:t>Production HA/DR &amp; security governance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Current Oracle Enterprise Processor Licenses</w:t>
            </w:r>
          </w:p>
        </w:tc>
        <w:tc>
          <w:tcPr>
            <w:tcW w:type="dxa" w:w="3360"/>
          </w:tcPr>
          <w:p>
            <w:r>
              <w:t>[Insert Count, e.g., 32 EE licenses]</w:t>
            </w:r>
          </w:p>
        </w:tc>
        <w:tc>
          <w:tcPr>
            <w:tcW w:type="dxa" w:w="3360"/>
          </w:tcPr>
          <w:p>
            <w:r>
              <w:t>100% functional parity &amp; optimization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PL/SQL Packages, Triggers &amp; Complex Views</w:t>
            </w:r>
          </w:p>
        </w:tc>
        <w:tc>
          <w:tcPr>
            <w:tcW w:type="dxa" w:w="3360"/>
          </w:tcPr>
          <w:p>
            <w:r>
              <w:t>[Insert Count, e.g., 850 PL/SQL objects]</w:t>
            </w:r>
          </w:p>
        </w:tc>
        <w:tc>
          <w:tcPr>
            <w:tcW w:type="dxa" w:w="3360"/>
          </w:tcPr>
          <w:p>
            <w:r>
              <w:t>Automated AST &amp; schema uplift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Cutover Downtime Window</w:t>
            </w:r>
          </w:p>
        </w:tc>
        <w:tc>
          <w:tcPr>
            <w:tcW w:type="dxa" w:w="3360"/>
          </w:tcPr>
          <w:p>
            <w:r>
              <w:t>[e.g., &lt; 15 Minutes / Near-Zero Downtime]</w:t>
            </w:r>
          </w:p>
        </w:tc>
        <w:tc>
          <w:tcPr>
            <w:tcW w:type="dxa" w:w="3360"/>
          </w:tcPr>
          <w:p>
            <w:r>
              <w:t>Rehearsed parallel run + rollback plan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Security, Compliance &amp; Identity</w:t>
            </w:r>
          </w:p>
        </w:tc>
        <w:tc>
          <w:tcPr>
            <w:tcW w:type="dxa" w:w="3360"/>
          </w:tcPr>
          <w:p>
            <w:r>
              <w:t>[e.g., SSO/MFA via Entra ID / Okta, Row-Level VPD]</w:t>
            </w:r>
          </w:p>
        </w:tc>
        <w:tc>
          <w:tcPr>
            <w:tcW w:type="dxa" w:w="3360"/>
          </w:tcPr>
          <w:p>
            <w:r>
              <w:t>Zero critical/high CVEs at Go-Live</w:t>
            </w:r>
          </w:p>
        </w:tc>
      </w:tr>
    </w:tbl>
    <w:p>
      <w:pPr>
        <w:pStyle w:val="Heading2"/>
      </w:pPr>
      <w:r>
        <w:rPr>
          <w:color w:val="006884"/>
        </w:rPr>
        <w:t>Section 3: Mandatory Technical Scope of Work &amp; Conversion Matrix</w:t>
      </w:r>
    </w:p>
    <w:p>
      <w:pPr>
        <w:pStyle w:val="ListNumber"/>
      </w:pPr>
      <w:r>
        <w:rPr>
          <w:b/>
        </w:rPr>
        <w:t xml:space="preserve">[REQ-ARCH-01] </w:t>
      </w:r>
      <w:r>
        <w:t>Phase 0 Workload &amp; License Reality Audit: We scan `DBA_FEATURE_USAGE_STATISTICS`, PL/SQL package AST complexity, and SQL plan profiles across your fleet to segment databases into: (A) Clean candidates for PostgreSQL / AlloyDB conversion, and (B) High-complexity PL/SQL / APEX workloads where ODA Capacity-on-Demand or SE2 right-sizing delivers higher ROI.</w:t>
      </w:r>
    </w:p>
    <w:p>
      <w:pPr>
        <w:pStyle w:val="ListNumber"/>
      </w:pPr>
      <w:r>
        <w:rPr>
          <w:b/>
        </w:rPr>
        <w:t xml:space="preserve">[REQ-ARCH-02] </w:t>
      </w:r>
      <w:r>
        <w:t>Automated View &amp; SQL Dialect Refactoring: For workloads moving to PostgreSQL / AlloyDB, our AST engine rewrites Oracle legacy outer joins `(+)`, hierarchical `START WITH ... CONNECT BY` queries into ANSI recursive CTEs (`WITH RECURSIVE`), `MERGE` statements, and materialized views.</w:t>
      </w:r>
    </w:p>
    <w:p>
      <w:pPr>
        <w:pStyle w:val="ListNumber"/>
      </w:pPr>
      <w:r>
        <w:rPr>
          <w:b/>
        </w:rPr>
        <w:t xml:space="preserve">[REQ-ARCH-03] </w:t>
      </w:r>
      <w:r>
        <w:t>PL/SQL Package Decomposition to Schema-Scoped PL/pgSQL: Oracle Packages are mapped to PostgreSQL schemas with session-scoped GUC variables replacing package globals and connection-pool-safe transaction handlers.</w:t>
      </w:r>
    </w:p>
    <w:p>
      <w:pPr>
        <w:pStyle w:val="ListNumber"/>
      </w:pPr>
      <w:r>
        <w:rPr>
          <w:b/>
        </w:rPr>
        <w:t xml:space="preserve">[REQ-ARCH-04] </w:t>
      </w:r>
      <w:r>
        <w:t>Bi-Directional CDC &amp; Read-Replica Offload: Using Oracle GoldenGate or SharePlex, we stream real-time changes from Oracle to PostgreSQL / AlloyDB / BigQuery to power external microservices without impacting core ERP transactions.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182830"/>
          </w:tcPr>
          <w:p>
            <w:r>
              <w:rPr>
                <w:b/>
                <w:color w:val="FFFFFF"/>
                <w:sz w:val="19"/>
              </w:rPr>
              <w:t>Req ID</w:t>
            </w:r>
          </w:p>
        </w:tc>
        <w:tc>
          <w:tcPr>
            <w:tcW w:type="dxa" w:w="2520"/>
            <w:shd w:val="clear" w:color="auto" w:fill="182830"/>
          </w:tcPr>
          <w:p>
            <w:r>
              <w:rPr>
                <w:b/>
                <w:color w:val="FFFFFF"/>
                <w:sz w:val="19"/>
              </w:rPr>
              <w:t>Legacy Artifact / Baseline Workload</w:t>
            </w:r>
          </w:p>
        </w:tc>
        <w:tc>
          <w:tcPr>
            <w:tcW w:type="dxa" w:w="2520"/>
            <w:shd w:val="clear" w:color="auto" w:fill="182830"/>
          </w:tcPr>
          <w:p>
            <w:r>
              <w:rPr>
                <w:b/>
                <w:color w:val="FFFFFF"/>
                <w:sz w:val="19"/>
              </w:rPr>
              <w:t>Required Target Architecture</w:t>
            </w:r>
          </w:p>
        </w:tc>
        <w:tc>
          <w:tcPr>
            <w:tcW w:type="dxa" w:w="2520"/>
            <w:shd w:val="clear" w:color="auto" w:fill="182830"/>
          </w:tcPr>
          <w:p>
            <w:r>
              <w:rPr>
                <w:b/>
                <w:color w:val="FFFFFF"/>
                <w:sz w:val="19"/>
              </w:rPr>
              <w:t>Engineering Method &amp; Acceptance Gate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REQ-01</w:t>
            </w:r>
          </w:p>
        </w:tc>
        <w:tc>
          <w:tcPr>
            <w:tcW w:type="dxa" w:w="2520"/>
          </w:tcPr>
          <w:p>
            <w:r>
              <w:t>Oracle Hierarchical Queries (`CONNECT BY PRIOR`)</w:t>
            </w:r>
          </w:p>
        </w:tc>
        <w:tc>
          <w:tcPr>
            <w:tcW w:type="dxa" w:w="2520"/>
          </w:tcPr>
          <w:p>
            <w:r>
              <w:t>PostgreSQL / AlloyDB ANSI `WITH RECURSIVE` CTEs</w:t>
            </w:r>
          </w:p>
        </w:tc>
        <w:tc>
          <w:tcPr>
            <w:tcW w:type="dxa" w:w="2520"/>
          </w:tcPr>
          <w:p>
            <w:r>
              <w:t>Automated AST Query Rewrite &amp; Cycle Detection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REQ-02</w:t>
            </w:r>
          </w:p>
        </w:tc>
        <w:tc>
          <w:tcPr>
            <w:tcW w:type="dxa" w:w="2520"/>
          </w:tcPr>
          <w:p>
            <w:r>
              <w:t>Oracle PL/SQL Packages &amp; Package Body State</w:t>
            </w:r>
          </w:p>
        </w:tc>
        <w:tc>
          <w:tcPr>
            <w:tcW w:type="dxa" w:w="2520"/>
          </w:tcPr>
          <w:p>
            <w:r>
              <w:t>PostgreSQL Schemas + `PL/pgSQL` Functions + Custom GUCs</w:t>
            </w:r>
          </w:p>
        </w:tc>
        <w:tc>
          <w:tcPr>
            <w:tcW w:type="dxa" w:w="2520"/>
          </w:tcPr>
          <w:p>
            <w:r>
              <w:t>State Decoupling &amp; Procedural Transpilation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REQ-03</w:t>
            </w:r>
          </w:p>
        </w:tc>
        <w:tc>
          <w:tcPr>
            <w:tcW w:type="dxa" w:w="2520"/>
          </w:tcPr>
          <w:p>
            <w:r>
              <w:t>Oracle `PRAGMA AUTONOMOUS_TRANSACTION` Audit Logs</w:t>
            </w:r>
          </w:p>
        </w:tc>
        <w:tc>
          <w:tcPr>
            <w:tcW w:type="dxa" w:w="2520"/>
          </w:tcPr>
          <w:p>
            <w:r>
              <w:t>PostgreSQL `dblink` / Background Worker or Outbox Pattern</w:t>
            </w:r>
          </w:p>
        </w:tc>
        <w:tc>
          <w:tcPr>
            <w:tcW w:type="dxa" w:w="2520"/>
          </w:tcPr>
          <w:p>
            <w:r>
              <w:t>Connection-Pool-Safe Asynchronous Logging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REQ-04</w:t>
            </w:r>
          </w:p>
        </w:tc>
        <w:tc>
          <w:tcPr>
            <w:tcW w:type="dxa" w:w="2520"/>
          </w:tcPr>
          <w:p>
            <w:r>
              <w:t>High-Cost EE Databases Using Zero EE Features</w:t>
            </w:r>
          </w:p>
        </w:tc>
        <w:tc>
          <w:tcPr>
            <w:tcW w:type="dxa" w:w="2520"/>
          </w:tcPr>
          <w:p>
            <w:r>
              <w:t>Oracle Standard Edition 2 (SE2) or ODA Capacity-on-Demand</w:t>
            </w:r>
          </w:p>
        </w:tc>
        <w:tc>
          <w:tcPr>
            <w:tcW w:type="dxa" w:w="2520"/>
          </w:tcPr>
          <w:p>
            <w:r>
              <w:t>Zero-Rewrite License Reduction (60-80% TCO Drop)</w:t>
            </w:r>
          </w:p>
        </w:tc>
      </w:tr>
    </w:tbl>
    <w:p>
      <w:pPr>
        <w:pStyle w:val="Heading2"/>
      </w:pPr>
      <w:r>
        <w:rPr>
          <w:color w:val="006884"/>
        </w:rPr>
        <w:t>Section 4: Vendor Technical Q&amp;A Questionnaire &amp; Evaluation Rubric</w:t>
      </w:r>
    </w:p>
    <w:p>
      <w:r>
        <w:t>Bidders must provide direct written responses to each question below. Evaluation committee members can grade vendor responses (0 to 10 points) using the Reference Evaluation Benchmark provided under each question.</w:t>
      </w:r>
    </w:p>
    <w:p>
      <w:r>
        <w:rPr>
          <w:b/>
        </w:rPr>
        <w:t>Vendor Question 1: Why hire an Oracle-specialized engineering firm to help with an Oracle-to-PostgreSQL migration?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PostgreSQL specialists rarely understand the subtle semantics of Oracle PL/SQL packages, optimizer hints, `SYS_CONTEXT`, and date/number implicit conversions. Because our architects know Oracle internals deeply, we spot and solve the 15% of Oracle idioms that break standard `Ora2Pg` migrations.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2: When should we keep a workload on Oracle instead of converting to PostgreSQL?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If a database contains 50,000+ lines of tight PL/SQL business logic or powers an Oracle APEX application, rewriting it in Postgres + React costs 5x to 10x more than consolidating it onto an Oracle Database Appliance (ODA) with Capacity-on-Demand licensing.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3: What is included in the downloadable PDF Solution Brief?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The PDF Solution Brief includes the Oracle-vs-PostgreSQL Internals Translation Matrix, the `DBA_FEATURE_USAGE_STATISTICS` right-sizing script, and a TCO model comparing Rewrite-to-Postgres vs. ODA Consolidation.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4: How do you prevent report and query fan-out bloat, and how do you guarantee 100% customer code ownership?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demonstrate AST SQL clustering (collapsing 75%-90% of cloned queries into core database views with runtime predicates) and confirm 100% customer ownership of all DDL, PL/SQL, APEX, and cloud source code with zero proprietary runtime lock-in.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5: Describe your automated regression testing, data parity verification, and zero-downtime cutover methodology.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provide automated row-count and cryptographic hash reconciliation, automated unit/UI test suites (utPLSQL, Playwright), and a rehearsed cutover runbook with sub-minute rollback capability.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pPr>
        <w:pStyle w:val="Heading2"/>
      </w:pPr>
      <w:r>
        <w:rPr>
          <w:color w:val="006884"/>
        </w:rPr>
        <w:t>Section 5: Commercial Milestone Pricing &amp; Evaluation Scorecard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182830"/>
          </w:tcPr>
          <w:p>
            <w:r>
              <w:rPr>
                <w:b/>
                <w:color w:val="FFFFFF"/>
                <w:sz w:val="19"/>
              </w:rPr>
              <w:t>Milestone / Phase</w:t>
            </w:r>
          </w:p>
        </w:tc>
        <w:tc>
          <w:tcPr>
            <w:tcW w:type="dxa" w:w="2520"/>
            <w:shd w:val="clear" w:color="auto" w:fill="182830"/>
          </w:tcPr>
          <w:p>
            <w:r>
              <w:rPr>
                <w:b/>
                <w:color w:val="FFFFFF"/>
                <w:sz w:val="19"/>
              </w:rPr>
              <w:t>Deliverable &amp; Acceptance Gate</w:t>
            </w:r>
          </w:p>
        </w:tc>
        <w:tc>
          <w:tcPr>
            <w:tcW w:type="dxa" w:w="2520"/>
            <w:shd w:val="clear" w:color="auto" w:fill="182830"/>
          </w:tcPr>
          <w:p>
            <w:r>
              <w:rPr>
                <w:b/>
                <w:color w:val="FFFFFF"/>
                <w:sz w:val="19"/>
              </w:rPr>
              <w:t>Fixed Fee (USD)</w:t>
            </w:r>
          </w:p>
        </w:tc>
        <w:tc>
          <w:tcPr>
            <w:tcW w:type="dxa" w:w="2520"/>
            <w:shd w:val="clear" w:color="auto" w:fill="182830"/>
          </w:tcPr>
          <w:p>
            <w:r>
              <w:rPr>
                <w:b/>
                <w:color w:val="FFFFFF"/>
                <w:sz w:val="19"/>
              </w:rPr>
              <w:t>Estimated Weeks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0: Discovery &amp; AST X-Ray</w:t>
            </w:r>
          </w:p>
        </w:tc>
        <w:tc>
          <w:tcPr>
            <w:tcW w:type="dxa" w:w="2520"/>
          </w:tcPr>
          <w:p>
            <w:r>
              <w:t>Verified inventory, dead-code manifest, core SQL fan-out map &amp; blueprint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1: Core Schema &amp; Logic Uplift</w:t>
            </w:r>
          </w:p>
        </w:tc>
        <w:tc>
          <w:tcPr>
            <w:tcW w:type="dxa" w:w="2520"/>
          </w:tcPr>
          <w:p>
            <w:r>
              <w:t>Provisioned target stack, schema migration &amp; automated logic conversion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[4 - 8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2: UI, Reports &amp; UAT</w:t>
            </w:r>
          </w:p>
        </w:tc>
        <w:tc>
          <w:tcPr>
            <w:tcW w:type="dxa" w:w="2520"/>
          </w:tcPr>
          <w:p>
            <w:r>
              <w:t>Modernized portals/screens, runtime reports, AOP templates &amp; UAT sign-off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[3 - 6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3: Cutover &amp; Hypercare</w:t>
            </w:r>
          </w:p>
        </w:tc>
        <w:tc>
          <w:tcPr>
            <w:tcW w:type="dxa" w:w="2520"/>
          </w:tcPr>
          <w:p>
            <w:r>
              <w:t>Rehearsed cutover, reconciliation sign-off &amp; 30-day production hypercare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Optional: Annual Managed Support</w:t>
            </w:r>
          </w:p>
        </w:tc>
        <w:tc>
          <w:tcPr>
            <w:tcW w:type="dxa" w:w="2520"/>
          </w:tcPr>
          <w:p>
            <w:r>
              <w:t>24x7 monitoring, patching, DBA tuning &amp; quarterly enhancements</w:t>
            </w:r>
          </w:p>
        </w:tc>
        <w:tc>
          <w:tcPr>
            <w:tcW w:type="dxa" w:w="2520"/>
          </w:tcPr>
          <w:p>
            <w:r>
              <w:t>$ [Insert/yr]</w:t>
            </w:r>
          </w:p>
        </w:tc>
        <w:tc>
          <w:tcPr>
            <w:tcW w:type="dxa" w:w="2520"/>
          </w:tcPr>
          <w:p>
            <w:r>
              <w:t>[12 Months]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This site is designed by Viscosity.AI  |  Editable Microsoft Word (.docx) RFP Template (VNA-RFP-012)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MODIFIABLE RFP TEMPLATE &amp; VENDOR Q&amp;A  |  VNA-RFP-012  |  https://oracle-to-postgresql-migration.web.app/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